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55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spacing w:line="360" w:lineRule="auto"/>
        <w:ind w:right="558" w:firstLine="57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第十八批区校院企干部人才挂职岗位目录</w:t>
      </w:r>
    </w:p>
    <w:tbl>
      <w:tblPr>
        <w:tblStyle w:val="6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382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挂职单位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挂职职务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区委政策研究室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区政府研究室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区档案局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档案专业、文学专业优先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区委宣传部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副部长或部长助理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文学专业、社会学专业优先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区委老干部局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社会学、心理学专业优先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区机关党工委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副书记或书记助理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中文、社会管理专业优先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区社会工作党委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副书记或书记助理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区总工会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副主席或主席助理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法律、中文专业优先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区妇联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副主席或主席助理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社会管理、社会组织专业优先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区残联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副理事长或理事长助理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社会学、社工专业优先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区工商联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副主席或主席助理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经济学、投募金融、企业管理专业优先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区红十字会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副会长或会长助理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区政府办公室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产业经济、区域经济、社会管理专业优先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区法制办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法律专业优先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区合作交流办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区发改委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区商务委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设计、国际贸易专业优先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区建设管理委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交通管理、城市建设专业优先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挂职单位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挂职职务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区科委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物联网、云计算、现代设计、金融专业优先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区信息委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区司法局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法学专业优先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区人社局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或挂职至下属事业单位有关岗位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区民政局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区财政局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财经专业优先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区国资委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企业管理专业优先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区市场监管局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区审计局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区教育局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或挂职至下属事业单位有关岗位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区文化局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文化产业管理、经济专业优先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区卫计委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或挂职至下属事业单位有关岗位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区体育局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区绿化市容局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园林绿化、景观设计、规划管理专业优先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区环保局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区规土局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城市规划、建筑学专业优先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区住房保障房屋管理局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建筑、法律、社会管理专业优先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区安监局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区民防办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区金融办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挂职单位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挂职职务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区城管执法局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副局长或局长助理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区各街道、镇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副书记、副主任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或书记助理、主任助理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社区管理、行政管理、社会学、公共管理、文秘、环境建设专业优先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区委党校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副校长或校长助理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区委党史研究室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副主任或主任助理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卫百辛（集团）公司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副总经理或总经理助理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杨浦科创（集团）公司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副总经理或总经理助理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杨浦城投（集团）公司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副总经理或总经理助理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杨浦商贸（集团）公司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副总经理或总经理助理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杨浦投控（集团）公司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副总经理或总经理助理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滨江公司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副总经理或总经理助理</w:t>
            </w:r>
          </w:p>
        </w:tc>
        <w:tc>
          <w:tcPr>
            <w:tcW w:w="623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right="418"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  <w:rPr>
        <w:rFonts w:hint="eastAsia" w:ascii="仿宋_GB2312" w:eastAsia="仿宋_GB23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1E8D"/>
    <w:rsid w:val="4ECD1E8D"/>
    <w:rsid w:val="673B3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2017-11-23T11:19:00Z</dcterms:created>
  <dc:creator>菜菜1376226560</dc:creator>
  <cp:lastModifiedBy>菜菜1376226560</cp:lastModifiedBy>
  <dcterms:modified xsi:type="dcterms:W3CDTF">2017-11-23T11:20:54Z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